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komornika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[Telefon, e-mail]</w:t>
      </w:r>
    </w:p>
    <w:p/>
    <w:p>
      <w:r>
        <w:rPr>
          <w:sz w:val="22"/>
          <w:szCs w:val="22"/>
        </w:rPr>
        <w:t xml:space="preserve">Prezes Sądu Rejonowego w [miejscowość]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Dotyczy: Komornik Sądowy przy Sądzie Rejonowym w [miejscowość]</w:t>
      </w:r>
    </w:p>
    <w:p>
      <w:r>
        <w:rPr>
          <w:sz w:val="22"/>
          <w:szCs w:val="22"/>
        </w:rPr>
        <w:t xml:space="preserve">[Imię i nazwisko komornika], sygn. akt Km [.../....]</w:t>
      </w:r>
    </w:p>
    <w:p/>
    <w:p>
      <w:r>
        <w:rPr>
          <w:sz w:val="22"/>
          <w:szCs w:val="22"/>
        </w:rPr>
        <w:t xml:space="preserve">Skarga na działalność komornika w trybie nadzoru administracyjnego</w:t>
      </w:r>
    </w:p>
    <w:p/>
    <w:p>
      <w:r>
        <w:rPr>
          <w:sz w:val="22"/>
          <w:szCs w:val="22"/>
        </w:rPr>
        <w:t xml:space="preserve">Na podstawie art. 179 ustawy z dnia 22 marca 2018 r. o komornikach sądowych wnoszę skargę na działalność Komornika Sądowego [imię i nazwisko], prowadzącego postępowanie egzekucyjne o sygn. Km [.../....].</w:t>
      </w:r>
    </w:p>
    <w:p/>
    <w:p>
      <w:r>
        <w:rPr>
          <w:sz w:val="22"/>
          <w:szCs w:val="22"/>
        </w:rPr>
        <w:t xml:space="preserve">Skarga nie dotyczy pojedynczej czynności egzekucyjnej podlegającej rozpoznaniu przez sąd w trybie art. 767 Kodeksu postępowania cywilnego, lecz sposobu prowadzenia kancelarii i obsługi stron.</w:t>
      </w:r>
    </w:p>
    <w:p/>
    <w:p>
      <w:r>
        <w:rPr>
          <w:sz w:val="22"/>
          <w:szCs w:val="22"/>
        </w:rPr>
        <w:t xml:space="preserve">Zarzucam:</w:t>
      </w:r>
    </w:p>
    <w:p>
      <w:r>
        <w:rPr>
          <w:sz w:val="22"/>
          <w:szCs w:val="22"/>
        </w:rPr>
        <w:t xml:space="preserve">1. [np. brak reakcji na pisma z dnia ... i z dnia ..., mimo dwukrotnego monitu],</w:t>
      </w:r>
    </w:p>
    <w:p>
      <w:r>
        <w:rPr>
          <w:sz w:val="22"/>
          <w:szCs w:val="22"/>
        </w:rPr>
        <w:t xml:space="preserve">2. [np. niemożność uzyskania informacji o stanie sprawy - kancelaria nie odbiera telefonów w godzinach przyjęć podanych na stronie],</w:t>
      </w:r>
    </w:p>
    <w:p>
      <w:r>
        <w:rPr>
          <w:sz w:val="22"/>
          <w:szCs w:val="22"/>
        </w:rPr>
        <w:t xml:space="preserve">3. [np. wątpliwość co do zgodności naliczonych należności z obowiązującymi przepisami].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sprawy w ramach nadzoru odpowiedzialnego (art. 175 ust. 1 ustawy o komornikach sądowych),</w:t>
      </w:r>
    </w:p>
    <w:p>
      <w:r>
        <w:rPr>
          <w:sz w:val="22"/>
          <w:szCs w:val="22"/>
        </w:rPr>
        <w:t xml:space="preserve">2. rozważenie zawiadomienia sądu o potrzebie wydania komornikowi zarządzeń w trybie art. 759 § 2 Kodeksu postępowania cywilnego,</w:t>
      </w:r>
    </w:p>
    <w:p>
      <w:r>
        <w:rPr>
          <w:sz w:val="22"/>
          <w:szCs w:val="22"/>
        </w:rPr>
        <w:t xml:space="preserve">3. poinformowanie mnie o wyniku rozpatrzenia skargi.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[Chronologia: kiedy wszczęto egzekucję, jakie pisma i kiedy zostały złożone, jakie były reakcje kancelarii, co konkretnie się nie wydarzyło.]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[kopie pism skierowanych do kancelarii wraz z potwierdzeniami nadania],</w:t>
      </w:r>
    </w:p>
    <w:p>
      <w:r>
        <w:rPr>
          <w:sz w:val="22"/>
          <w:szCs w:val="22"/>
        </w:rPr>
        <w:t xml:space="preserve">- [korespondencja i zawiadomienia otrzymane od komornika].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