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udzielenie dnia wolnego za nadgodziny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WNIOSEK O UDZIELENIE CZASU WOLNEGO W ZAMIAN ZA PRACĘ W GODZINACH NADLICZBOWYCH</w:t>
      </w:r>
    </w:p>
    <w:p/>
    <w:p>
      <w:r>
        <w:rPr>
          <w:sz w:val="22"/>
          <w:szCs w:val="22"/>
        </w:rPr>
        <w:t xml:space="preserve">Na podstawie art. 151(2) § 1 Kodeksu pracy wnoszę o udzielenie mi czasu wolnego w zamian za czas przepracowany w godzinach nadliczbowych, w wymiarze [liczba] godzin, w dniu [data] [albo w dniach [daty]].</w:t>
      </w:r>
    </w:p>
    <w:p/>
    <w:p>
      <w:r>
        <w:rPr>
          <w:sz w:val="22"/>
          <w:szCs w:val="22"/>
        </w:rPr>
        <w:t xml:space="preserve">Godziny nadliczbowe, których dotyczy wniosek: [data] w wymiarze [liczba] godzin, [data] w wymiarze [liczba] godzin. Łącznie [liczba] godzin.</w:t>
      </w:r>
    </w:p>
    <w:p/>
    <w:p>
      <w:r>
        <w:rPr>
          <w:sz w:val="22"/>
          <w:szCs w:val="22"/>
        </w:rPr>
        <w:t xml:space="preserve">[Czasu wolnego udzielonego na pisemny wniosek pracownika udziela się w tym samym wymiarze co przepracowane nadgodziny. Jeżeli czas wolny jest udzielany bez wniosku pracownika, przysługuje on w wymiarze o połowę wyższy, najpóźniej do końca okresu rozliczeniowego (art. 151(2) § 2 Kodeksu pracy). To jest różnica, którą warto znać przed złożeniem wniosku.]</w:t>
      </w:r>
    </w:p>
    <w:p/>
    <w:p>
      <w:r>
        <w:rPr>
          <w:sz w:val="22"/>
          <w:szCs w:val="22"/>
        </w:rPr>
        <w:t xml:space="preserve">[Udzielenie czasu wolnego na wniosek pracownika wyłącza prawo do dodatku za pracę w godzinach nadliczbowych. Samo normalne wynagrodzenie pozostaje należne.]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[Wyciąg z ewidencji czasu pracy za wskazany okres.]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 pracownika]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