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IKEA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IKEA Retail Sp. z o.o. (sprzedawca)</w:t>
      </w:r>
    </w:p>
    <w:p>
      <w:r>
        <w:rPr>
          <w:sz w:val="22"/>
          <w:szCs w:val="22"/>
        </w:rPr>
        <w:t xml:space="preserve">[Dział Obsługi Klienta / adres sklepu IKEA, w którym kupiono towar - dla zakupu online: Biuro Obsługi Klienta IKEA, ikea.com/pl]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Numer zamówienia IKEA / nr paragonu: [wpisz numer]</w:t>
      </w:r>
    </w:p>
    <w:p>
      <w:r>
        <w:rPr>
          <w:sz w:val="22"/>
          <w:szCs w:val="22"/>
        </w:rPr>
        <w:t xml:space="preserve">Data zakupu: [data]</w:t>
      </w:r>
    </w:p>
    <w:p>
      <w:r>
        <w:rPr>
          <w:sz w:val="22"/>
          <w:szCs w:val="22"/>
        </w:rPr>
        <w:t xml:space="preserve">Reklamowany mebel: [nazwa i seria, np. szafa PAX, komoda MALM, regał KALLAX - numer artykułu z paragonu lub etykiety]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mebla kupionego w IKEA, ponieważ jest on niezgodny z umową.</w:t>
      </w:r>
    </w:p>
    <w:p>
      <w:r>
        <w:rPr>
          <w:sz w:val="22"/>
          <w:szCs w:val="22"/>
        </w:rPr>
        <w:t xml:space="preserve">Opis wady: [opisz szczegółowo usterkę oraz to, kiedy się pojawiła, np. drzwi przesuwne szafy PAX wypadają z górnej prowadnicy, a front jednej z szuflad pękł wzdłuż okleiny po dwóch tygodniach zwykłego użytkowania].</w:t>
      </w:r>
    </w:p>
    <w:p/>
    <w:p>
      <w:r>
        <w:rPr>
          <w:sz w:val="22"/>
          <w:szCs w:val="22"/>
        </w:rPr>
        <w:t xml:space="preserve">Niezgodność wyszła na jaw w pierwszym okresie używania mebla, a więc na długo przed upływem dwóch lat od jego wydania. W myśl art. 43c ustawy o prawach konsumenta domniemywa się zatem, że wada tkwiła w rzeczy już w chwili zakupu, i to na sprzedawcy spoczywa ciężar dowodu przeciwnego.</w:t>
      </w:r>
    </w:p>
    <w:p/>
    <w:p>
      <w:r>
        <w:rPr>
          <w:sz w:val="22"/>
          <w:szCs w:val="22"/>
        </w:rPr>
        <w:t xml:space="preserve">W pierwszej kolejności domagam się naprawy mebla albo jego wymiany na egzemplarz wolny od wad (art. 43d tej ustawy). Jeżeli IKEA odmówi, nie zdąży w rozsądnym czasie lub taka naprawa byłaby dla mnie zbyt kłopotliwa, żądam obniżenia ceny albo odstępuję od umowy i proszę o zwrot zapłaconej kwoty (art. 43e).</w:t>
      </w:r>
    </w:p>
    <w:p/>
    <w:p>
      <w:r>
        <w:rPr>
          <w:sz w:val="22"/>
          <w:szCs w:val="22"/>
        </w:rPr>
        <w:t xml:space="preserve">Zaznaczam, że reklamację opieram na przepisach ustawy, a nie na polityce zwrotów w 365 dni ani na gwarancji IKEA - to trzy odrębne uprawnienia.</w:t>
      </w:r>
    </w:p>
    <w:p/>
    <w:p>
      <w:r>
        <w:rPr>
          <w:sz w:val="22"/>
          <w:szCs w:val="22"/>
        </w:rPr>
        <w:t xml:space="preserve">Zgłoszenie proszę rozpatrzyć w ustawowym terminie 14 dni; brak odpowiedzi w tym czasie będzie oznaczać, że reklamację uznano za przyjętą (art. 7a ust. 2 ustawy o prawach konsumenta).</w:t>
      </w:r>
    </w:p>
    <w:p/>
    <w:p>
      <w:r>
        <w:rPr>
          <w:sz w:val="22"/>
          <w:szCs w:val="22"/>
        </w:rPr>
        <w:t xml:space="preserve">Załączniki: [dowód zakupu (paragon, faktura, potwierdzenie zamówienia lub historia z konta IKEA Family), zdjęcia wady].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[Imię i nazwisko /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